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2021-2022年度</w:t>
      </w:r>
      <w:r>
        <w:rPr>
          <w:rFonts w:hint="eastAsia" w:ascii="宋体" w:hAnsi="宋体" w:eastAsia="宋体" w:cs="宋体"/>
          <w:b/>
          <w:sz w:val="44"/>
          <w:szCs w:val="44"/>
        </w:rPr>
        <w:t>工程造价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咨询</w:t>
      </w:r>
      <w:r>
        <w:rPr>
          <w:rFonts w:hint="eastAsia" w:ascii="宋体" w:hAnsi="宋体" w:eastAsia="宋体" w:cs="宋体"/>
          <w:b/>
          <w:sz w:val="44"/>
          <w:szCs w:val="44"/>
        </w:rPr>
        <w:t>优秀成果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认定</w:t>
      </w:r>
      <w:r>
        <w:rPr>
          <w:rFonts w:hint="eastAsia" w:ascii="宋体" w:hAnsi="宋体" w:eastAsia="宋体" w:cs="宋体"/>
          <w:b/>
          <w:sz w:val="44"/>
          <w:szCs w:val="44"/>
        </w:rPr>
        <w:t>评分表</w:t>
      </w:r>
    </w:p>
    <w:p>
      <w:pPr>
        <w:rPr>
          <w:rFonts w:hint="eastAsia" w:ascii="宋体" w:hAnsi="宋体" w:eastAsia="宋体" w:cs="宋体"/>
        </w:rPr>
      </w:pPr>
    </w:p>
    <w:p>
      <w:pPr>
        <w:spacing w:line="77" w:lineRule="exact"/>
        <w:rPr>
          <w:rFonts w:hint="eastAsia" w:ascii="宋体" w:hAnsi="宋体" w:eastAsia="宋体" w:cs="宋体"/>
        </w:rPr>
      </w:pPr>
    </w:p>
    <w:tbl>
      <w:tblPr>
        <w:tblStyle w:val="6"/>
        <w:tblW w:w="15273" w:type="dxa"/>
        <w:tblInd w:w="-1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04"/>
        <w:gridCol w:w="341"/>
        <w:gridCol w:w="2373"/>
        <w:gridCol w:w="10105"/>
        <w:gridCol w:w="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评审项目</w:t>
            </w:r>
          </w:p>
        </w:tc>
        <w:tc>
          <w:tcPr>
            <w:tcW w:w="10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内容及标准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申报材料完整性</w:t>
            </w:r>
          </w:p>
        </w:tc>
        <w:tc>
          <w:tcPr>
            <w:tcW w:w="101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□参评报告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□过程文件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成果文件 (三项材料应齐全，如有缺失，则不参与评审)</w:t>
            </w:r>
          </w:p>
        </w:tc>
        <w:tc>
          <w:tcPr>
            <w:tcW w:w="73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委托方意见</w:t>
            </w:r>
          </w:p>
        </w:tc>
        <w:tc>
          <w:tcPr>
            <w:tcW w:w="101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委托方是否同意申报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  □否 (如无委托方意见或委托方不同意申报，则不参与评审)</w:t>
            </w:r>
          </w:p>
        </w:tc>
        <w:tc>
          <w:tcPr>
            <w:tcW w:w="73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537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评分项目</w:t>
            </w:r>
          </w:p>
        </w:tc>
        <w:tc>
          <w:tcPr>
            <w:tcW w:w="10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内容及标准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应得分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4" w:lineRule="auto"/>
              <w:ind w:left="3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327" w:lineRule="auto"/>
              <w:ind w:left="36" w:right="35" w:firstLine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参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评报告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分)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before="247" w:line="225" w:lineRule="auto"/>
              <w:ind w:left="74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内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容表达</w:t>
            </w:r>
          </w:p>
        </w:tc>
        <w:tc>
          <w:tcPr>
            <w:tcW w:w="10105" w:type="dxa"/>
            <w:vAlign w:val="center"/>
          </w:tcPr>
          <w:p>
            <w:pPr>
              <w:spacing w:before="111" w:line="249" w:lineRule="auto"/>
              <w:ind w:right="58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根据报告具体内容进行评分 (包括项目基本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情况、特色亮点、先进理念、经验总结等)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111" w:line="249" w:lineRule="auto"/>
              <w:ind w:right="58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注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申请报告应行文规范、阐述详细、特点突出、文字通顺，能体现出咨询成果特色和亮点。</w:t>
            </w:r>
          </w:p>
        </w:tc>
        <w:tc>
          <w:tcPr>
            <w:tcW w:w="736" w:type="dxa"/>
            <w:vAlign w:val="top"/>
          </w:tcPr>
          <w:p>
            <w:pPr>
              <w:spacing w:before="111" w:line="249" w:lineRule="auto"/>
              <w:ind w:left="15" w:right="585" w:hanging="8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1" w:type="dxa"/>
            <w:vMerge w:val="restart"/>
            <w:tcBorders>
              <w:bottom w:val="nil"/>
            </w:tcBorders>
            <w:textDirection w:val="tbRlV"/>
            <w:vAlign w:val="bottom"/>
          </w:tcPr>
          <w:p>
            <w:pPr>
              <w:spacing w:before="169" w:line="205" w:lineRule="auto"/>
              <w:ind w:left="480"/>
              <w:jc w:val="both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</w:p>
          <w:p>
            <w:pPr>
              <w:spacing w:before="169" w:line="205" w:lineRule="auto"/>
              <w:ind w:left="48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 xml:space="preserve">目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特 色</w:t>
            </w:r>
          </w:p>
        </w:tc>
        <w:tc>
          <w:tcPr>
            <w:tcW w:w="2373" w:type="dxa"/>
            <w:vAlign w:val="top"/>
          </w:tcPr>
          <w:p>
            <w:pPr>
              <w:spacing w:before="267" w:line="22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造价控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制成效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105" w:type="dxa"/>
            <w:vAlign w:val="top"/>
          </w:tcPr>
          <w:p>
            <w:pPr>
              <w:spacing w:before="266" w:line="22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项目对造价控制提出的优化方案及取得的效果等因素进行评分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每发现一处计5分，未发现的不计分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736" w:type="dxa"/>
            <w:vAlign w:val="top"/>
          </w:tcPr>
          <w:p>
            <w:pPr>
              <w:spacing w:before="266" w:line="224" w:lineRule="auto"/>
              <w:ind w:left="84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3" w:type="dxa"/>
            <w:vAlign w:val="center"/>
          </w:tcPr>
          <w:p>
            <w:pPr>
              <w:spacing w:before="267" w:line="225" w:lineRule="auto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影响力和典型性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105" w:type="dxa"/>
            <w:vAlign w:val="top"/>
          </w:tcPr>
          <w:p>
            <w:pPr>
              <w:spacing w:before="267" w:line="225" w:lineRule="auto"/>
              <w:jc w:val="both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根据项目的社会影响力，是否对解决同类问题具有借鉴和启发意义等因素进行评分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如:项目是否荣获过奖励或表彰、是否为政府确定的重点工程、是否为疫情防控及防汛救灾等特定时期的特殊项目等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每发现一处计5分，未发现的不计分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。</w:t>
            </w:r>
          </w:p>
        </w:tc>
        <w:tc>
          <w:tcPr>
            <w:tcW w:w="736" w:type="dxa"/>
            <w:vAlign w:val="top"/>
          </w:tcPr>
          <w:p>
            <w:pPr>
              <w:spacing w:before="269" w:line="224" w:lineRule="auto"/>
              <w:ind w:left="84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3" w:type="dxa"/>
            <w:vAlign w:val="center"/>
          </w:tcPr>
          <w:p>
            <w:pPr>
              <w:spacing w:before="267" w:line="225" w:lineRule="auto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创新性和先进性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105" w:type="dxa"/>
            <w:vAlign w:val="top"/>
          </w:tcPr>
          <w:p>
            <w:pPr>
              <w:spacing w:before="267" w:line="225" w:lineRule="auto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根据项目的创新管理理念、先进方法和具体实施措施等因素进行评分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每发现一处计5分，未发现的不计分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。</w:t>
            </w:r>
          </w:p>
        </w:tc>
        <w:tc>
          <w:tcPr>
            <w:tcW w:w="736" w:type="dxa"/>
            <w:vAlign w:val="top"/>
          </w:tcPr>
          <w:p>
            <w:pPr>
              <w:spacing w:before="266" w:line="226" w:lineRule="auto"/>
              <w:ind w:left="84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22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153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32"/>
        <w:gridCol w:w="2332"/>
        <w:gridCol w:w="10279"/>
        <w:gridCol w:w="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68" w:type="dxa"/>
            <w:vMerge w:val="restart"/>
            <w:vAlign w:val="top"/>
          </w:tcPr>
          <w:p>
            <w:pPr>
              <w:spacing w:line="26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4" w:lineRule="auto"/>
              <w:ind w:left="3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4" w:lineRule="auto"/>
              <w:ind w:left="3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4" w:lineRule="auto"/>
              <w:ind w:left="3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4" w:lineRule="auto"/>
              <w:ind w:left="3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4" w:lineRule="auto"/>
              <w:ind w:left="3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4" w:lineRule="auto"/>
              <w:ind w:left="3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4" w:lineRule="auto"/>
              <w:ind w:left="3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4" w:lineRule="auto"/>
              <w:ind w:left="3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4" w:lineRule="auto"/>
              <w:ind w:left="3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32" w:type="dxa"/>
            <w:vMerge w:val="restart"/>
            <w:vAlign w:val="top"/>
          </w:tcPr>
          <w:p>
            <w:pPr>
              <w:spacing w:line="29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9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4" w:line="294" w:lineRule="auto"/>
              <w:ind w:left="55" w:right="47" w:firstLine="1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74" w:line="294" w:lineRule="auto"/>
              <w:ind w:left="55" w:right="47" w:firstLine="1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74" w:line="294" w:lineRule="auto"/>
              <w:ind w:left="55" w:right="47" w:firstLine="1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74" w:line="294" w:lineRule="auto"/>
              <w:ind w:left="55" w:right="47" w:firstLine="1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74" w:line="294" w:lineRule="auto"/>
              <w:ind w:left="55" w:right="47" w:firstLine="1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74" w:line="294" w:lineRule="auto"/>
              <w:ind w:left="55" w:right="47" w:firstLine="1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74" w:line="294" w:lineRule="auto"/>
              <w:ind w:left="55" w:right="47" w:firstLine="1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74" w:line="294" w:lineRule="auto"/>
              <w:ind w:right="4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前期工作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4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2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23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23"/>
                <w:sz w:val="21"/>
                <w:szCs w:val="21"/>
              </w:rPr>
              <w:t>分)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spacing w:before="269" w:line="22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咨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询合同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10279" w:type="dxa"/>
            <w:vMerge w:val="restart"/>
            <w:vAlign w:val="center"/>
          </w:tcPr>
          <w:p>
            <w:pPr>
              <w:spacing w:before="269" w:line="223" w:lineRule="auto"/>
              <w:ind w:left="8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工程造价咨询企业与委托方所签订的工程造价咨询合同格式规范、内容完整、手续完备、收费合理的得满分。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有下列情形之一的扣分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没有签订咨询合同的扣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虽签有咨询合同但没有采用示范文本的扣2分（属综合业务合同的除外）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虽采用“示范文本”但内容不完整、签章手续不完备的扣2分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4.收费合理性参照皖价服（2007)86号文标准，在40%及以上的不扣分，在20-40%之间的扣1分，在20%及以下的扣2分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41" w:type="dxa"/>
            <w:vAlign w:val="top"/>
          </w:tcPr>
          <w:p>
            <w:pPr>
              <w:spacing w:before="269" w:line="223" w:lineRule="auto"/>
              <w:ind w:left="8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768" w:type="dxa"/>
            <w:vMerge w:val="continue"/>
            <w:vAlign w:val="top"/>
          </w:tcPr>
          <w:p>
            <w:pPr>
              <w:spacing w:before="269" w:line="223" w:lineRule="auto"/>
              <w:ind w:left="8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vAlign w:val="top"/>
          </w:tcPr>
          <w:p>
            <w:pPr>
              <w:spacing w:before="269" w:line="223" w:lineRule="auto"/>
              <w:ind w:left="8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spacing w:before="269" w:line="223" w:lineRule="auto"/>
              <w:ind w:left="8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9" w:type="dxa"/>
            <w:vMerge w:val="continue"/>
            <w:tcBorders/>
            <w:vAlign w:val="center"/>
          </w:tcPr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941" w:type="dxa"/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76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咨询资料（5分）</w:t>
            </w:r>
          </w:p>
          <w:p>
            <w:pPr>
              <w:spacing w:before="74" w:line="223" w:lineRule="auto"/>
              <w:ind w:left="716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0279" w:type="dxa"/>
            <w:tcBorders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工程造价咨询企业根据咨询合同确定咨询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项目的咨询内容，开列由委托方提供的资料清单。实施过程中咨询资料收集真实、充分、完整的得满分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有下列情形之一的扣分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未按有关规定收集整理咨询资料及不能提供资料清单的扣5分；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咨询资料无法满足工程造价咨询业务需求的扣2分；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咨询资料清单交接退还手续不完整的扣1分。</w:t>
            </w:r>
          </w:p>
        </w:tc>
        <w:tc>
          <w:tcPr>
            <w:tcW w:w="941" w:type="dxa"/>
            <w:vAlign w:val="top"/>
          </w:tcPr>
          <w:p>
            <w:pPr>
              <w:spacing w:before="72" w:line="260" w:lineRule="auto"/>
              <w:ind w:left="88" w:firstLine="4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76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方案（5分）</w:t>
            </w:r>
          </w:p>
        </w:tc>
        <w:tc>
          <w:tcPr>
            <w:tcW w:w="1027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咨询项目的实施方案编制合理，内容完整、操作人员配备适当，审定批准手续完备的得满分。有下列情形之一的扣分：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未编制实施方案的扣5分；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咨询业务人员配置不合理或现场代表与实施方案不符的扣3分；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实施方案内容不完整的扣2分；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实施方案未经工程造价咨询企业相关负责人审定和批准的扣1分;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实施方案人员未到位的扣1分。</w:t>
            </w:r>
          </w:p>
        </w:tc>
        <w:tc>
          <w:tcPr>
            <w:tcW w:w="941" w:type="dxa"/>
            <w:vAlign w:val="top"/>
          </w:tcPr>
          <w:p>
            <w:pPr>
              <w:spacing w:before="72" w:line="260" w:lineRule="auto"/>
              <w:ind w:left="88" w:firstLine="4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76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质量保证体系（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79" w:type="dxa"/>
            <w:vAlign w:val="center"/>
          </w:tcPr>
          <w:p>
            <w:pPr>
              <w:pStyle w:val="2"/>
              <w:spacing w:line="24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企业建立健全的内部管理制度，内部制度建设、技术档案管理和质量保证体系执行情况符合行业规定的得满分。有下列情形之一的扣分：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企业内部未建立相关内部管理制度的，如执业质量控制制度、业务档案管理制度、人事管理制度、财务制度等每缺一项扣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41" w:type="dxa"/>
            <w:vAlign w:val="top"/>
          </w:tcPr>
          <w:p>
            <w:pPr>
              <w:spacing w:before="72" w:line="260" w:lineRule="auto"/>
              <w:ind w:left="88" w:firstLine="4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75" w:line="19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spacing w:before="75" w:line="192" w:lineRule="auto"/>
              <w:ind w:left="39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19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实施阶段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55分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5" w:line="294" w:lineRule="auto"/>
              <w:ind w:left="93" w:right="9" w:firstLine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业务操作（45分）</w:t>
            </w:r>
          </w:p>
        </w:tc>
        <w:tc>
          <w:tcPr>
            <w:tcW w:w="1027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咨询成果质量应符合《建设工程造价咨询规范》(GB/T 51095-2015)、《建设工程造价咨询成果文件质量标准》(CECA/GC 7-2012)、《建设工程造价鉴定规范》(GB/T 51262-2017 )、《建设项目全过程造价咨询规程》 (CECA/GC4-2009)等行业标准、安徽省现行计价依据和咨询服务合同的要求。</w:t>
            </w:r>
          </w:p>
          <w:p>
            <w:pPr>
              <w:spacing w:line="240" w:lineRule="atLeas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咨询成果文件是否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遵守有关的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规范、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规程和准则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，计价依据、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方法、计价程序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正确，内容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描述是否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计价取费是否准确、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准确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真实可靠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各阶段的咨询成果文件审核程序与签发手续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符合有关规定、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计算式等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相关内容计分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但同类错误仅扣一次分，若此类错误导致成果偏差较大，可酌情再扣分。</w:t>
            </w:r>
          </w:p>
        </w:tc>
        <w:tc>
          <w:tcPr>
            <w:tcW w:w="941" w:type="dxa"/>
            <w:vAlign w:val="top"/>
          </w:tcPr>
          <w:p>
            <w:pPr>
              <w:spacing w:before="266" w:line="223" w:lineRule="auto"/>
              <w:ind w:left="84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4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咨询成果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质量控制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（10分）</w:t>
            </w:r>
          </w:p>
          <w:p>
            <w:pPr>
              <w:spacing w:before="75" w:line="225" w:lineRule="auto"/>
              <w:ind w:left="71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咨询成果文件的审（校）核记录完整、内容全面，审（校）核人员资格符合规定，审查方法得当，审查结果有据可查的得满分。有下列情形之一的扣分：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不能提供《造价咨询项目校审纪录表》的扣10分；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咨询成果文件编制、审（校）核为同一个人员的扣10分；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对编制和校核中重要的计算公式和计算方法错误未予以纠正的，每发现一处扣2分；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对各专业的技术经济标准不一致，关键数据及相互关系不协调未予发现的，每发现一处扣2分；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常规的造价咨询业务，有关各方未在《施工现场勘察记录》、《工程量核实记录单》、《建设工程预结算协调会议记录》、《建设工程造价编审确认表》上签章认可的，每发现一处扣5分。</w:t>
            </w:r>
          </w:p>
        </w:tc>
        <w:tc>
          <w:tcPr>
            <w:tcW w:w="941" w:type="dxa"/>
            <w:vAlign w:val="top"/>
          </w:tcPr>
          <w:p>
            <w:pPr>
              <w:spacing w:before="74" w:line="252" w:lineRule="auto"/>
              <w:ind w:left="85" w:firstLine="7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阶段（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咨询成果文件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10279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咨询成果文件的格式、内容、深度符合国家及行业相关规定，满足合同约定的得满分，有下列情形之一的扣分：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咨询成果文件的格式不符合要求的扣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咨询成果文件未加盖注册造价工程师执业专用章的扣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在咨询成果文件的内容中，编制说明表述不清楚，内容不规范，有缺项、漏项的，每发现一处扣2分。</w:t>
            </w:r>
          </w:p>
        </w:tc>
        <w:tc>
          <w:tcPr>
            <w:tcW w:w="941" w:type="dxa"/>
            <w:vAlign w:val="top"/>
          </w:tcPr>
          <w:p>
            <w:pPr>
              <w:spacing w:before="74" w:line="252" w:lineRule="auto"/>
              <w:ind w:left="85" w:firstLine="7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咨询成果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文件归档（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10279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工程造价咨询企业建立和健全了档案管理制度，咨询成果文件的收集、整理、留存和归档符合行业规定的得满分。有下列情形之一的扣分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专人管理技术档案的扣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未建立咨询项目管理台帐的扣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3.无档案室、立卷目录及成果档案整体效果的，以提供的图片计分，每缺一项扣1分。</w:t>
            </w:r>
          </w:p>
        </w:tc>
        <w:tc>
          <w:tcPr>
            <w:tcW w:w="941" w:type="dxa"/>
            <w:vAlign w:val="top"/>
          </w:tcPr>
          <w:p>
            <w:pPr>
              <w:spacing w:before="74" w:line="252" w:lineRule="auto"/>
              <w:ind w:left="85" w:firstLine="7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回访与总结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9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工程造价咨询企业已建立咨询服务回访与总结制度，并得到有效的贯彻执行的得满分，有下列情形之一的扣分：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未建立咨询回访与总结制度，或咨询回访与总结查无实据的扣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回访对象不完全、回访记录不真实、委托方对服务质量没有评价的扣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回访后没有总结，没有归纳分析咨询服务的优缺点和经验教训，没有将存在的问题纳入质量改进建议的，没有提出相应的解决措施与方法的扣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941" w:type="dxa"/>
            <w:vAlign w:val="top"/>
          </w:tcPr>
          <w:p>
            <w:pPr>
              <w:spacing w:before="74" w:line="252" w:lineRule="auto"/>
              <w:ind w:left="85" w:firstLine="7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</w:rPr>
      </w:pPr>
    </w:p>
    <w:sectPr>
      <w:headerReference r:id="rId5" w:type="default"/>
      <w:footerReference r:id="rId6" w:type="default"/>
      <w:pgSz w:w="16839" w:h="11906" w:orient="landscape"/>
      <w:pgMar w:top="1588" w:right="400" w:bottom="1332" w:left="906" w:header="0" w:footer="6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both"/>
      <w:rPr>
        <w:rFonts w:hint="eastAsia" w:ascii="宋体" w:hAnsi="宋体" w:eastAsia="宋体" w:cs="宋体"/>
        <w:sz w:val="22"/>
        <w:szCs w:val="22"/>
        <w:lang w:val="en-US" w:eastAsia="zh-CN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FjOTk0YzM1ZWMwNTY5MGYyOTliNWFhZjEwZTNiYTUifQ=="/>
  </w:docVars>
  <w:rsids>
    <w:rsidRoot w:val="00000000"/>
    <w:rsid w:val="00D018CC"/>
    <w:rsid w:val="04E83A96"/>
    <w:rsid w:val="0712411D"/>
    <w:rsid w:val="0DDA5726"/>
    <w:rsid w:val="16774218"/>
    <w:rsid w:val="170D2487"/>
    <w:rsid w:val="19963A19"/>
    <w:rsid w:val="1BE97ACE"/>
    <w:rsid w:val="1C67088B"/>
    <w:rsid w:val="1D6272D6"/>
    <w:rsid w:val="1F35266E"/>
    <w:rsid w:val="21515666"/>
    <w:rsid w:val="23035E6A"/>
    <w:rsid w:val="275E61E0"/>
    <w:rsid w:val="2C6F399F"/>
    <w:rsid w:val="2F5702EB"/>
    <w:rsid w:val="35FA0AE9"/>
    <w:rsid w:val="361B70E8"/>
    <w:rsid w:val="36B64491"/>
    <w:rsid w:val="38913A7E"/>
    <w:rsid w:val="3938513A"/>
    <w:rsid w:val="3A864A1F"/>
    <w:rsid w:val="3ACA1843"/>
    <w:rsid w:val="3BE850ED"/>
    <w:rsid w:val="3C5960B2"/>
    <w:rsid w:val="3FBC2F4A"/>
    <w:rsid w:val="42CD58AE"/>
    <w:rsid w:val="46362EF9"/>
    <w:rsid w:val="46EB0DBA"/>
    <w:rsid w:val="49BC3715"/>
    <w:rsid w:val="4E155DBA"/>
    <w:rsid w:val="537C3688"/>
    <w:rsid w:val="538F745D"/>
    <w:rsid w:val="5CC225B9"/>
    <w:rsid w:val="5D665A1A"/>
    <w:rsid w:val="5E001C68"/>
    <w:rsid w:val="5EC9616E"/>
    <w:rsid w:val="61191464"/>
    <w:rsid w:val="664A237C"/>
    <w:rsid w:val="690C52DF"/>
    <w:rsid w:val="70812E3F"/>
    <w:rsid w:val="77C9122A"/>
    <w:rsid w:val="78DE4C31"/>
    <w:rsid w:val="78DF11BD"/>
    <w:rsid w:val="79727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260"/>
        <w:tab w:val="left" w:pos="1965"/>
      </w:tabs>
      <w:spacing w:line="500" w:lineRule="exact"/>
      <w:ind w:firstLine="720" w:firstLineChars="240"/>
    </w:pPr>
    <w:rPr>
      <w:rFonts w:ascii="宋体" w:hAnsi="宋体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2172</Words>
  <Characters>2285</Characters>
  <TotalTime>1</TotalTime>
  <ScaleCrop>false</ScaleCrop>
  <LinksUpToDate>false</LinksUpToDate>
  <CharactersWithSpaces>2305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2021-06-10T12:16:00Z</dcterms:created>
  <dc:creator>20878203@qq.com</dc:creator>
  <cp:lastModifiedBy>Administrator</cp:lastModifiedBy>
  <cp:lastPrinted>2023-02-17T02:22:00Z</cp:lastPrinted>
  <dcterms:modified xsi:type="dcterms:W3CDTF">2023-02-20T08:57:23Z</dcterms:modified>
  <dc:title>皖价协〔2020〕1号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2023-02-17T10:14:03Z</vt:filetime>
  </property>
  <property fmtid="{D5CDD505-2E9C-101B-9397-08002B2CF9AE}" pid="4" name="KSOProductBuildVer">
    <vt:lpwstr>2052-11.1.0.13703</vt:lpwstr>
  </property>
  <property fmtid="{D5CDD505-2E9C-101B-9397-08002B2CF9AE}" pid="5" name="ICV">
    <vt:lpwstr>BE89558671B14CC59C997D9CCA92CE24</vt:lpwstr>
  </property>
</Properties>
</file>